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TAHIR NADEEM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ASSISTANT PROFESSOR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HIGHER EDUCATION DEPT. (GDC THANAMANDI)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7006432620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tahirnadeem12985@gmail.com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Rajouri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28-10-2022 to 29-10-2022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BADAKANA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240207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PLANGHAR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THANAMANDI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400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2200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JAL shakti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 rehman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supervisor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Veterinary Dept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Zahid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Attendant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Shakeel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supervisor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 Dept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Shamin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FMPHW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SOCAIL welfare dept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Mohd shakeel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MTS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Shafiq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AE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Horticulture dept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Hayat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TECHNACAIN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SOCAIL forestry Dept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Sarfaraz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I/C BEAT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Irrigation Dept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GANG COOLIE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shabir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 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Zahoor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 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Sajjad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AGRI. ASSISTANT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Aurangzaib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FLOCK SUPERVISOR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.. GOVT BUILDING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... NEEDS REPAIR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PRIVATE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... N/A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... All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FULLY ONLINE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PHC in pyt. Only one sub centre that too in private building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Inagurate 5 houses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Visited all are satisfactory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Inspected  5 in numbers 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Pyt playground in ward no 06..organised a voleyball match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Severe plantation drive organsied especially in schools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Participated in voleyball match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 depts held exhibition of their schemes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Mission not under implemenation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107"/>
        <w:gridCol w:w="7307"/>
      </w:tblGrid>
      <w:tr>
        <w:trPr>
          <w:cantSplit w:val="false"/>
          <w:tblHeader w:val="false"/>
          <w:jc w:val="left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S.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No.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Department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Deficiency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deliverable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01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Information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technology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installation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hoardings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making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wall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painting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about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digital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J&amp;K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not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done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panchayat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02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Finance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Financial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inclusion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through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JDY,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JJBY,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JSBY,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APY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done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yet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03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Social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welfare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No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divyang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camp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held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04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Transport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No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case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under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MUMKIN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scheme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taken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up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05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Science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technology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No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farmer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considered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for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outreach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training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under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PM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scheme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06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Jal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shakti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No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awareness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regarding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mechanism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for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water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quality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testing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of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water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quality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taken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up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07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Agricultural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and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allied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sector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before="12" w:lineRule="auto" w:line="24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no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kisan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mela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organised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in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the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panchayat</w:t>
            </w:r>
            <w:r>
              <w:rPr>
                <w:rFonts w:ascii="Times New Roman" w:cs="Times New Roman" w:eastAsia="宋体" w:hAnsi="Times New Roman" w:hint="default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.. ZERO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.. 10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01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77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293"/>
        <w:gridCol w:w="1775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2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AZAZ AHMED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IBRAR HUSSAIN SHAH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H. MASTER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MASTER 07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Teacher 13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H.master 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Master 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Tr. 07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lineman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lineman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 rehman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Lineman 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Shabir, zahoor, farooq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Dealer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 sattar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alyas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90" w:hRule="atLeas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Worker 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Helper 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Pharmasict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FMPHW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NHM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SW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Pharmasict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FMPHW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NHM 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SW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10 number of soak pits are constructed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v-text-anchor:middle;" o:allowincell="false">
                <v:stroke weight="0.6pt"/>
                <v:fill/>
                <v:path textboxrect="0,0,3240,0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.... Solar lights installed at pyt ghar, high school and all shrines in the pyt.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NO.. BECAUSE THEY ARE IGNORANT ABOUT THIS CONCEPT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YES SOAK PITS ARE constructED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YES ALMOST 90 %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...YES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ALMOST 95 %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70% DONE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  <w:lang w:val="en-US"/>
        </w:rPr>
        <w:t>ALMOST ALL DONE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03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..NO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06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NO COMMUNITY HALL IN PYT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lang w:val="en-US"/>
        </w:rPr>
        <w:t>..... DONE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07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06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FIRST meeting held during b2v 4 proceedings.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.... DONE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 availability of Aadhar cards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Documents not submitted by beneficiary 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Rejection by revenue dept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process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>....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.. Pldege against drug abuse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Sanitary complex near abdul house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>... 600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...25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..06 yrs.. 450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....30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inagurated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PMAY HOUSES INAGURATED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such project in pyt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amrit sarovar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such projects in pyt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improvement of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Partail improvement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construction of bowali in ward no. 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Completed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upgradation of high school to hr sec school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action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community hall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action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pyt members need exposures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development of tourist places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link road from badakan to pakho mood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Completed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playground at pyt BADAKANA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Completed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link road from BADAKANA to pyt kote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road from main road planghar to zqiywrat sai wali dhatt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Completed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building for health sub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buildings for all sub centres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poor road connectivity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Partially completed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insufficient health schemes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low standard of education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Insufficient portable waterdye to non availability of sources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actions yet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25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insufficient awareness about CSS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Awareness through b2v tour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deplorable conditions of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Minor improved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drinking water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 NIL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  <w:lang w:val="en-US"/>
              </w:rPr>
              <w:t>J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 NIL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.. NIL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SOCAIL WELFARE DEPARTMENT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JAL SHAKTI DEPARTMENT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0" w:hRule="auto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>1)SCARCITY OF WATER     2)DEPLORABLE CONDITIONS OF ROAD     3)ENCROACHMENT OF GHS LAND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>. ANEXURE J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>
              <w:rPr>
                <w:rFonts w:ascii="Times New Roman" w:hAnsi="Times New Roman"/>
                <w:w w:val="103"/>
                <w:sz w:val="20"/>
                <w:szCs w:val="20"/>
                <w:lang w:val="en-US"/>
              </w:rPr>
              <w:t>...... ANNEXURE K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.... 07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1"/>
                <w:sz w:val="20"/>
                <w:szCs w:val="20"/>
                <w:lang w:val="en-US"/>
              </w:rPr>
              <w:t>..YES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lang w:val="en-US"/>
        </w:rPr>
      </w:pPr>
      <w:r>
        <w:rPr>
          <w:rFonts w:ascii="Times New Roman" w:hAnsi="Times New Roman"/>
          <w:sz w:val="17"/>
          <w:szCs w:val="17"/>
          <w:lang w:val="en-US"/>
        </w:rPr>
        <w:t>ANNEXURE J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  <w:lang w:val="en-US"/>
        </w:rPr>
        <w:t>MAJOR /URGENT PUBLIC DEMANDS THAT WERE REFLECTED EARLIER BUT HAVE NOT BEEN ADDRESSED SO FAR...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Th</w:t>
      </w:r>
      <w:r>
        <w:rPr>
          <w:rFonts w:ascii="Times New Roman" w:hAnsi="Times New Roman"/>
          <w:sz w:val="20"/>
          <w:szCs w:val="20"/>
        </w:rPr>
        <w:t>e following are major urgent public demands that were reflected earlier what have not been addressed so far are</w:t>
      </w:r>
      <w:r>
        <w:rPr>
          <w:rFonts w:ascii="Times New Roman" w:hAnsi="Times New Roman"/>
          <w:sz w:val="20"/>
          <w:szCs w:val="20"/>
          <w:lang w:val="en-US"/>
        </w:rPr>
        <w:t>:-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1)</w:t>
      </w:r>
      <w:r>
        <w:rPr>
          <w:rFonts w:ascii="Times New Roman" w:hAnsi="Times New Roman"/>
          <w:sz w:val="20"/>
          <w:szCs w:val="20"/>
        </w:rPr>
        <w:t xml:space="preserve"> upgradation of Higher school to Higher Secondary School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2) C</w:t>
      </w:r>
      <w:r>
        <w:rPr>
          <w:rFonts w:ascii="Times New Roman" w:hAnsi="Times New Roman"/>
          <w:sz w:val="20"/>
          <w:szCs w:val="20"/>
        </w:rPr>
        <w:t>onstruction of Community Hall in the panchayat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3) </w:t>
      </w:r>
      <w:r>
        <w:rPr>
          <w:rFonts w:ascii="Times New Roman" w:hAnsi="Times New Roman"/>
          <w:sz w:val="20"/>
          <w:szCs w:val="20"/>
        </w:rPr>
        <w:t>veterinary Centre for Panchayat bada</w:t>
      </w:r>
      <w:r>
        <w:rPr>
          <w:rFonts w:ascii="Times New Roman" w:hAnsi="Times New Roman"/>
          <w:sz w:val="20"/>
          <w:szCs w:val="20"/>
          <w:lang w:val="en-US"/>
        </w:rPr>
        <w:t>kana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4)</w:t>
      </w:r>
      <w:r>
        <w:rPr>
          <w:rFonts w:ascii="Times New Roman" w:hAnsi="Times New Roman"/>
          <w:sz w:val="20"/>
          <w:szCs w:val="20"/>
        </w:rPr>
        <w:t xml:space="preserve"> building for health sub Centre bada</w:t>
      </w:r>
      <w:r>
        <w:rPr>
          <w:rFonts w:ascii="Times New Roman" w:hAnsi="Times New Roman"/>
          <w:sz w:val="20"/>
          <w:szCs w:val="20"/>
          <w:lang w:val="en-US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  <w:lang w:val="en-US"/>
        </w:rPr>
        <w:t>na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5) </w:t>
      </w:r>
      <w:r>
        <w:rPr>
          <w:rFonts w:ascii="Times New Roman" w:hAnsi="Times New Roman"/>
          <w:sz w:val="20"/>
          <w:szCs w:val="20"/>
        </w:rPr>
        <w:t>building for all Anganwadi centres of the panchayat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ANNEXURE 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OVERALL ASSESSMENT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</w:t>
      </w:r>
      <w:r>
        <w:rPr>
          <w:rFonts w:ascii="Times New Roman" w:hAnsi="Times New Roman"/>
          <w:sz w:val="20"/>
          <w:szCs w:val="20"/>
        </w:rPr>
        <w:t>visit to the panchayat was satisfactory whe</w:t>
      </w:r>
      <w:r>
        <w:rPr>
          <w:rFonts w:ascii="Times New Roman" w:hAnsi="Times New Roman"/>
          <w:sz w:val="20"/>
          <w:szCs w:val="20"/>
          <w:lang w:val="en-US"/>
        </w:rPr>
        <w:t>re</w:t>
      </w:r>
      <w:r>
        <w:rPr>
          <w:rFonts w:ascii="Times New Roman" w:hAnsi="Times New Roman"/>
          <w:sz w:val="20"/>
          <w:szCs w:val="20"/>
        </w:rPr>
        <w:t xml:space="preserve"> the people of area extended cooperation during the entire period of visit</w:t>
      </w:r>
      <w:r>
        <w:rPr>
          <w:rFonts w:ascii="Times New Roman" w:hAnsi="Times New Roman"/>
          <w:sz w:val="20"/>
          <w:szCs w:val="20"/>
          <w:lang w:val="en-US"/>
        </w:rPr>
        <w:t>. T</w:t>
      </w:r>
      <w:r>
        <w:rPr>
          <w:rFonts w:ascii="Times New Roman" w:hAnsi="Times New Roman"/>
          <w:sz w:val="20"/>
          <w:szCs w:val="20"/>
        </w:rPr>
        <w:t>he overall perception of people of Panchayat regarding functioning of government is good how</w:t>
      </w:r>
      <w:r>
        <w:rPr>
          <w:rFonts w:ascii="Times New Roman" w:hAnsi="Times New Roman"/>
          <w:sz w:val="20"/>
          <w:szCs w:val="20"/>
          <w:lang w:val="en-US"/>
        </w:rPr>
        <w:t xml:space="preserve">ever </w:t>
      </w:r>
      <w:r>
        <w:rPr>
          <w:rFonts w:ascii="Times New Roman" w:hAnsi="Times New Roman"/>
          <w:sz w:val="20"/>
          <w:szCs w:val="20"/>
        </w:rPr>
        <w:t xml:space="preserve">the following issues </w:t>
      </w:r>
      <w:r>
        <w:rPr>
          <w:rFonts w:ascii="Times New Roman" w:hAnsi="Times New Roman"/>
          <w:sz w:val="20"/>
          <w:szCs w:val="20"/>
          <w:lang w:val="en-US"/>
        </w:rPr>
        <w:t xml:space="preserve">were </w:t>
      </w:r>
      <w:r>
        <w:rPr>
          <w:rFonts w:ascii="Times New Roman" w:hAnsi="Times New Roman"/>
          <w:sz w:val="20"/>
          <w:szCs w:val="20"/>
        </w:rPr>
        <w:t>frequently brought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to the notice of the visiting officer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1)</w:t>
      </w:r>
      <w:r>
        <w:rPr>
          <w:rFonts w:ascii="Times New Roman" w:hAnsi="Times New Roman"/>
          <w:sz w:val="20"/>
          <w:szCs w:val="20"/>
        </w:rPr>
        <w:t>scarcity of water in general and drinking water</w:t>
      </w:r>
      <w:r>
        <w:rPr>
          <w:rFonts w:ascii="Times New Roman" w:hAnsi="Times New Roman"/>
          <w:sz w:val="20"/>
          <w:szCs w:val="20"/>
          <w:lang w:val="en-US"/>
        </w:rPr>
        <w:t xml:space="preserve"> in </w:t>
      </w:r>
      <w:r>
        <w:rPr>
          <w:rFonts w:ascii="Times New Roman" w:hAnsi="Times New Roman"/>
          <w:sz w:val="20"/>
          <w:szCs w:val="20"/>
        </w:rPr>
        <w:t>particular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2) deplorabl</w:t>
      </w:r>
      <w:r>
        <w:rPr>
          <w:rFonts w:ascii="Times New Roman" w:hAnsi="Times New Roman"/>
          <w:sz w:val="20"/>
          <w:szCs w:val="20"/>
        </w:rPr>
        <w:t>e conditions of roads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  <w:lang w:val="en-US"/>
        </w:rPr>
        <w:t>)</w:t>
      </w:r>
      <w:r>
        <w:rPr>
          <w:rFonts w:ascii="Times New Roman" w:hAnsi="Times New Roman"/>
          <w:sz w:val="20"/>
          <w:szCs w:val="20"/>
        </w:rPr>
        <w:t xml:space="preserve"> encouragement of Government High School </w:t>
      </w:r>
      <w:r>
        <w:rPr>
          <w:rFonts w:ascii="Times New Roman" w:hAnsi="Times New Roman"/>
          <w:sz w:val="20"/>
          <w:szCs w:val="20"/>
          <w:lang w:val="en-US"/>
        </w:rPr>
        <w:t>l</w:t>
      </w:r>
      <w:r>
        <w:rPr>
          <w:rFonts w:ascii="Times New Roman" w:hAnsi="Times New Roman"/>
          <w:sz w:val="20"/>
          <w:szCs w:val="20"/>
        </w:rPr>
        <w:t>and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  <w:lang w:val="en-US"/>
        </w:rPr>
        <w:t>) N</w:t>
      </w:r>
      <w:r>
        <w:rPr>
          <w:rFonts w:ascii="Times New Roman" w:hAnsi="Times New Roman"/>
          <w:sz w:val="20"/>
          <w:szCs w:val="20"/>
        </w:rPr>
        <w:t>on availability of first aid medicines in the sub centre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n addition the following demands </w:t>
      </w:r>
      <w:r>
        <w:rPr>
          <w:rFonts w:ascii="Times New Roman" w:hAnsi="Times New Roman"/>
          <w:sz w:val="20"/>
          <w:szCs w:val="20"/>
          <w:lang w:val="en-US"/>
        </w:rPr>
        <w:t xml:space="preserve">were </w:t>
      </w:r>
      <w:r>
        <w:rPr>
          <w:rFonts w:ascii="Times New Roman" w:hAnsi="Times New Roman"/>
          <w:sz w:val="20"/>
          <w:szCs w:val="20"/>
        </w:rPr>
        <w:t>made by General public</w:t>
      </w:r>
      <w:r>
        <w:rPr>
          <w:rFonts w:ascii="Times New Roman" w:hAnsi="Times New Roman"/>
          <w:sz w:val="20"/>
          <w:szCs w:val="20"/>
          <w:lang w:val="en-US"/>
        </w:rPr>
        <w:t>:-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1) H</w:t>
      </w:r>
      <w:r>
        <w:rPr>
          <w:rFonts w:ascii="Times New Roman" w:hAnsi="Times New Roman"/>
          <w:sz w:val="20"/>
          <w:szCs w:val="20"/>
        </w:rPr>
        <w:t>and pump</w:t>
      </w:r>
      <w:r>
        <w:rPr>
          <w:rFonts w:ascii="Times New Roman" w:hAnsi="Times New Roman"/>
          <w:sz w:val="20"/>
          <w:szCs w:val="20"/>
          <w:lang w:val="en-US"/>
        </w:rPr>
        <w:t xml:space="preserve"> n</w:t>
      </w:r>
      <w:r>
        <w:rPr>
          <w:rFonts w:ascii="Times New Roman" w:hAnsi="Times New Roman"/>
          <w:sz w:val="20"/>
          <w:szCs w:val="20"/>
        </w:rPr>
        <w:t>ear Jama Masjid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2)</w:t>
      </w:r>
      <w:r>
        <w:rPr>
          <w:rFonts w:ascii="Times New Roman" w:hAnsi="Times New Roman"/>
          <w:sz w:val="20"/>
          <w:szCs w:val="20"/>
        </w:rPr>
        <w:t>protection wall of Government High School bada</w:t>
      </w:r>
      <w:r>
        <w:rPr>
          <w:rFonts w:ascii="Times New Roman" w:hAnsi="Times New Roman"/>
          <w:sz w:val="20"/>
          <w:szCs w:val="20"/>
          <w:lang w:val="en-US"/>
        </w:rPr>
        <w:t>kana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3)</w:t>
      </w:r>
      <w:r>
        <w:rPr>
          <w:rFonts w:ascii="Times New Roman" w:hAnsi="Times New Roman"/>
          <w:sz w:val="20"/>
          <w:szCs w:val="20"/>
        </w:rPr>
        <w:t>repair of link road from badak</w:t>
      </w:r>
      <w:r>
        <w:rPr>
          <w:rFonts w:ascii="Times New Roman" w:hAnsi="Times New Roman"/>
          <w:sz w:val="20"/>
          <w:szCs w:val="20"/>
          <w:lang w:val="en-US"/>
        </w:rPr>
        <w:t>ana to pakho mof bhattain.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4) P path </w:t>
      </w:r>
      <w:r>
        <w:rPr>
          <w:rFonts w:ascii="Times New Roman" w:hAnsi="Times New Roman"/>
          <w:sz w:val="20"/>
          <w:szCs w:val="20"/>
        </w:rPr>
        <w:t>mod from manjur Ahmad house to Gulam Ahmad house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5)</w:t>
      </w:r>
      <w:r>
        <w:rPr>
          <w:rFonts w:ascii="Times New Roman" w:hAnsi="Times New Roman"/>
          <w:sz w:val="20"/>
          <w:szCs w:val="20"/>
        </w:rPr>
        <w:t xml:space="preserve"> irrigation</w:t>
      </w:r>
      <w:r>
        <w:rPr>
          <w:rFonts w:ascii="Times New Roman" w:hAnsi="Times New Roman"/>
          <w:sz w:val="20"/>
          <w:szCs w:val="20"/>
          <w:lang w:val="en-US"/>
        </w:rPr>
        <w:t xml:space="preserve"> dr</w:t>
      </w:r>
      <w:r>
        <w:rPr>
          <w:rFonts w:ascii="Times New Roman" w:hAnsi="Times New Roman"/>
          <w:sz w:val="20"/>
          <w:szCs w:val="20"/>
        </w:rPr>
        <w:t>ai</w:t>
      </w:r>
      <w:r>
        <w:rPr>
          <w:rFonts w:ascii="Times New Roman" w:hAnsi="Times New Roman"/>
          <w:sz w:val="20"/>
          <w:szCs w:val="20"/>
          <w:lang w:val="en-US"/>
        </w:rPr>
        <w:t>n koul from dugwell to bowali bridge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6)Protection wall of graveyard in ward number 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7) B path from ziarat peer Shah Wali Shah to Bawli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8) Repairs of water pipeline from chullahan to kanyote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9)B path from jakali Bowli to Haji Aslam house.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In this connection it is suggested that the concerned  departments be directed to do the needful in order to mitigate suffering of the people.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000030204"/>
    <w:charset w:val="00"/>
    <w:family w:val="swiss"/>
    <w:pitch w:val="variable"/>
    <w:sig w:usb0="80002067" w:usb1="80000000" w:usb2="00000008" w:usb3="00000000" w:csb0="0000004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4769</Words>
  <Pages>5</Pages>
  <Characters>26412</Characters>
  <Application>WPS Office</Application>
  <DocSecurity>0</DocSecurity>
  <Paragraphs>1904</Paragraphs>
  <ScaleCrop>false</ScaleCrop>
  <LinksUpToDate>false</LinksUpToDate>
  <CharactersWithSpaces>31870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2022-10-27T09:57:00Z</dcterms:created>
  <dc:creator>Sunny Kumar</dc:creator>
  <dc:description>DocumentCreationInfo</dc:description>
  <lastModifiedBy>Redmi Note 7 Pro</lastModifiedBy>
  <dcterms:modified xsi:type="dcterms:W3CDTF">2022-11-12T11:52:48Z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98b34220f2f943f69b81a9affca5c447</vt:lpwstr>
  </property>
</Properties>
</file>